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D27AE">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eastAsia="方正小标宋简体"/>
          <w:color w:val="000000"/>
          <w:sz w:val="32"/>
          <w:szCs w:val="32"/>
        </w:rPr>
        <w:t>防火涂料</w:t>
      </w:r>
      <w:r>
        <w:rPr>
          <w:rFonts w:hint="eastAsia" w:ascii="Times New Roman" w:hAnsi="Times New Roman" w:eastAsia="方正小标宋简体" w:cs="方正仿宋简体"/>
          <w:color w:val="000000"/>
          <w:sz w:val="32"/>
          <w:szCs w:val="32"/>
        </w:rPr>
        <w:t>产品质量监督抽查实施细则</w:t>
      </w:r>
    </w:p>
    <w:p w14:paraId="5C5802B2">
      <w:pPr>
        <w:ind w:firstLine="440" w:firstLineChars="200"/>
        <w:rPr>
          <w:rFonts w:ascii="Times New Roman" w:hAnsi="Times New Roman" w:eastAsia="宋体" w:cs="宋体"/>
          <w:sz w:val="22"/>
          <w:szCs w:val="28"/>
        </w:rPr>
      </w:pPr>
    </w:p>
    <w:p w14:paraId="376C4141">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4F10253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3971921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54FD6825">
      <w:pPr>
        <w:snapToGrid w:val="0"/>
        <w:spacing w:line="440" w:lineRule="exact"/>
        <w:ind w:firstLine="420" w:firstLineChars="200"/>
        <w:rPr>
          <w:rFonts w:ascii="Times New Roman" w:hAnsi="Times New Roman" w:cs="Times New Roman"/>
          <w:color w:val="000000"/>
          <w:szCs w:val="21"/>
        </w:rPr>
      </w:pPr>
      <w:r>
        <w:rPr>
          <w:rFonts w:ascii="Times New Roman" w:hAnsi="Times New Roman" w:cs="Times New Roman"/>
          <w:color w:val="000000"/>
          <w:szCs w:val="21"/>
        </w:rPr>
        <w:t>抽样基数满足抽样数量即可，抽取不少于5kg（L）的最小包装2份（若产品为双组分或多组分时，每组分按配比抽取样品2份），1份为检验用样品，1份为备用样品。</w:t>
      </w:r>
    </w:p>
    <w:p w14:paraId="189148B5">
      <w:pPr>
        <w:rPr>
          <w:rFonts w:ascii="Times New Roman" w:hAnsi="Times New Roman" w:eastAsia="黑体" w:cs="黑体"/>
          <w:sz w:val="22"/>
          <w:szCs w:val="28"/>
        </w:rPr>
      </w:pPr>
    </w:p>
    <w:p w14:paraId="189F057F">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2 检验依据</w:t>
      </w:r>
      <w:bookmarkStart w:id="0" w:name="_GoBack"/>
      <w:bookmarkEnd w:id="0"/>
    </w:p>
    <w:p w14:paraId="27A2A664">
      <w:pPr>
        <w:rPr>
          <w:rFonts w:ascii="Times New Roman" w:hAnsi="Times New Roman" w:eastAsia="黑体" w:cs="黑体"/>
          <w:sz w:val="22"/>
          <w:szCs w:val="28"/>
        </w:rPr>
      </w:pPr>
    </w:p>
    <w:tbl>
      <w:tblPr>
        <w:tblStyle w:val="6"/>
        <w:tblW w:w="9061"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2674"/>
        <w:gridCol w:w="1875"/>
        <w:gridCol w:w="2130"/>
        <w:gridCol w:w="1680"/>
      </w:tblGrid>
      <w:tr w14:paraId="2A658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blHeader/>
        </w:trPr>
        <w:tc>
          <w:tcPr>
            <w:tcW w:w="702" w:type="dxa"/>
            <w:vAlign w:val="center"/>
          </w:tcPr>
          <w:p w14:paraId="25D60839">
            <w:pPr>
              <w:jc w:val="center"/>
              <w:rPr>
                <w:rFonts w:cs="宋体"/>
                <w:sz w:val="22"/>
                <w:szCs w:val="28"/>
              </w:rPr>
            </w:pPr>
            <w:r>
              <w:rPr>
                <w:rFonts w:cs="宋体"/>
                <w:sz w:val="22"/>
                <w:szCs w:val="28"/>
              </w:rPr>
              <w:t>序号</w:t>
            </w:r>
          </w:p>
        </w:tc>
        <w:tc>
          <w:tcPr>
            <w:tcW w:w="2674" w:type="dxa"/>
            <w:vAlign w:val="center"/>
          </w:tcPr>
          <w:p w14:paraId="1F062789">
            <w:pPr>
              <w:jc w:val="center"/>
              <w:rPr>
                <w:rFonts w:cs="宋体"/>
                <w:sz w:val="22"/>
                <w:szCs w:val="28"/>
              </w:rPr>
            </w:pPr>
            <w:r>
              <w:rPr>
                <w:rFonts w:cs="宋体"/>
                <w:sz w:val="22"/>
                <w:szCs w:val="28"/>
              </w:rPr>
              <w:t>检验项目</w:t>
            </w:r>
          </w:p>
        </w:tc>
        <w:tc>
          <w:tcPr>
            <w:tcW w:w="1875" w:type="dxa"/>
            <w:vAlign w:val="center"/>
          </w:tcPr>
          <w:p w14:paraId="4A27686B">
            <w:pPr>
              <w:jc w:val="center"/>
              <w:rPr>
                <w:rFonts w:cs="宋体"/>
                <w:sz w:val="22"/>
                <w:szCs w:val="28"/>
              </w:rPr>
            </w:pPr>
            <w:r>
              <w:rPr>
                <w:rFonts w:cs="宋体"/>
                <w:sz w:val="22"/>
                <w:szCs w:val="28"/>
              </w:rPr>
              <w:t>检验依据</w:t>
            </w:r>
          </w:p>
        </w:tc>
        <w:tc>
          <w:tcPr>
            <w:tcW w:w="2130" w:type="dxa"/>
            <w:vAlign w:val="center"/>
          </w:tcPr>
          <w:p w14:paraId="64DDACCE">
            <w:pPr>
              <w:jc w:val="center"/>
              <w:rPr>
                <w:rFonts w:cs="宋体"/>
                <w:sz w:val="22"/>
                <w:szCs w:val="28"/>
              </w:rPr>
            </w:pPr>
            <w:r>
              <w:rPr>
                <w:rFonts w:cs="宋体"/>
                <w:sz w:val="22"/>
                <w:szCs w:val="28"/>
              </w:rPr>
              <w:t>检验方法</w:t>
            </w:r>
          </w:p>
        </w:tc>
        <w:tc>
          <w:tcPr>
            <w:tcW w:w="1680" w:type="dxa"/>
            <w:vAlign w:val="center"/>
          </w:tcPr>
          <w:p w14:paraId="273B562B">
            <w:pPr>
              <w:jc w:val="center"/>
              <w:rPr>
                <w:rFonts w:cs="宋体"/>
                <w:sz w:val="22"/>
                <w:szCs w:val="28"/>
              </w:rPr>
            </w:pPr>
            <w:r>
              <w:rPr>
                <w:rFonts w:cs="宋体"/>
                <w:sz w:val="22"/>
                <w:szCs w:val="28"/>
              </w:rPr>
              <w:t>备注</w:t>
            </w:r>
          </w:p>
        </w:tc>
      </w:tr>
      <w:tr w14:paraId="7161D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02" w:type="dxa"/>
            <w:vAlign w:val="center"/>
          </w:tcPr>
          <w:p w14:paraId="143A86D6">
            <w:pPr>
              <w:jc w:val="center"/>
              <w:rPr>
                <w:rFonts w:ascii="Times New Roman" w:hAnsi="Times New Roman" w:cs="Times New Roman"/>
                <w:szCs w:val="21"/>
              </w:rPr>
            </w:pPr>
            <w:r>
              <w:rPr>
                <w:rFonts w:ascii="Times New Roman" w:hAnsi="Times New Roman" w:cs="Times New Roman"/>
                <w:szCs w:val="21"/>
              </w:rPr>
              <w:t>1</w:t>
            </w:r>
          </w:p>
        </w:tc>
        <w:tc>
          <w:tcPr>
            <w:tcW w:w="2674" w:type="dxa"/>
            <w:vAlign w:val="center"/>
          </w:tcPr>
          <w:p w14:paraId="2453759E">
            <w:pPr>
              <w:spacing w:line="440" w:lineRule="exact"/>
              <w:jc w:val="center"/>
              <w:rPr>
                <w:rFonts w:cs="宋体"/>
                <w:sz w:val="22"/>
                <w:szCs w:val="28"/>
              </w:rPr>
            </w:pPr>
            <w:r>
              <w:rPr>
                <w:rFonts w:ascii="Times New Roman" w:hAnsi="Times New Roman" w:cs="Times New Roman"/>
                <w:sz w:val="22"/>
                <w:szCs w:val="28"/>
              </w:rPr>
              <w:t>挥发性有机化合物（VOC）/VOC含量</w:t>
            </w:r>
          </w:p>
        </w:tc>
        <w:tc>
          <w:tcPr>
            <w:tcW w:w="1875" w:type="dxa"/>
            <w:vAlign w:val="center"/>
          </w:tcPr>
          <w:p w14:paraId="30D3F8E1">
            <w:pPr>
              <w:spacing w:line="440" w:lineRule="exact"/>
              <w:jc w:val="center"/>
              <w:rPr>
                <w:rFonts w:ascii="Times New Roman" w:hAnsi="Times New Roman" w:cs="Times New Roman"/>
                <w:szCs w:val="21"/>
              </w:rPr>
            </w:pPr>
            <w:r>
              <w:rPr>
                <w:rFonts w:ascii="Times New Roman" w:hAnsi="Times New Roman" w:cs="Times New Roman"/>
                <w:szCs w:val="21"/>
              </w:rPr>
              <w:t>JG/T 415—2013</w:t>
            </w:r>
          </w:p>
          <w:p w14:paraId="4EFF9858">
            <w:pPr>
              <w:spacing w:line="440" w:lineRule="exact"/>
              <w:jc w:val="center"/>
              <w:rPr>
                <w:rFonts w:ascii="Times New Roman" w:hAnsi="Times New Roman" w:cs="Times New Roman"/>
                <w:szCs w:val="21"/>
              </w:rPr>
            </w:pPr>
            <w:r>
              <w:rPr>
                <w:rFonts w:ascii="Times New Roman" w:hAnsi="Times New Roman" w:cs="Times New Roman"/>
                <w:szCs w:val="21"/>
              </w:rPr>
              <w:t>GB 30981.2—2025</w:t>
            </w:r>
          </w:p>
        </w:tc>
        <w:tc>
          <w:tcPr>
            <w:tcW w:w="2130" w:type="dxa"/>
            <w:vAlign w:val="center"/>
          </w:tcPr>
          <w:p w14:paraId="3E84422F">
            <w:pPr>
              <w:spacing w:line="440" w:lineRule="exact"/>
              <w:jc w:val="center"/>
              <w:rPr>
                <w:rFonts w:ascii="Times New Roman" w:hAnsi="Times New Roman" w:cs="Times New Roman"/>
                <w:szCs w:val="21"/>
              </w:rPr>
            </w:pPr>
            <w:r>
              <w:rPr>
                <w:rFonts w:ascii="Times New Roman" w:hAnsi="Times New Roman" w:cs="Times New Roman"/>
                <w:szCs w:val="21"/>
              </w:rPr>
              <w:t>JG/T 415—2013</w:t>
            </w:r>
          </w:p>
          <w:p w14:paraId="72EBD339">
            <w:pPr>
              <w:spacing w:line="440" w:lineRule="exact"/>
              <w:jc w:val="center"/>
              <w:rPr>
                <w:rFonts w:ascii="Times New Roman" w:hAnsi="Times New Roman" w:cs="Times New Roman"/>
                <w:szCs w:val="21"/>
              </w:rPr>
            </w:pPr>
            <w:r>
              <w:rPr>
                <w:rFonts w:ascii="Times New Roman" w:hAnsi="Times New Roman" w:cs="Times New Roman"/>
                <w:szCs w:val="21"/>
              </w:rPr>
              <w:t>GB 18582—2008</w:t>
            </w:r>
          </w:p>
          <w:p w14:paraId="5C131CDA">
            <w:pPr>
              <w:spacing w:line="440" w:lineRule="exact"/>
              <w:jc w:val="center"/>
              <w:rPr>
                <w:rFonts w:ascii="Times New Roman" w:hAnsi="Times New Roman" w:cs="Times New Roman"/>
                <w:szCs w:val="21"/>
              </w:rPr>
            </w:pPr>
            <w:r>
              <w:rPr>
                <w:rFonts w:ascii="Times New Roman" w:hAnsi="Times New Roman" w:cs="Times New Roman"/>
                <w:szCs w:val="21"/>
              </w:rPr>
              <w:t>GB/T 6750—2007</w:t>
            </w:r>
          </w:p>
          <w:p w14:paraId="6446CDCE">
            <w:pPr>
              <w:spacing w:line="440" w:lineRule="exact"/>
              <w:jc w:val="center"/>
              <w:rPr>
                <w:rFonts w:ascii="Times New Roman" w:hAnsi="Times New Roman" w:cs="Times New Roman"/>
                <w:szCs w:val="21"/>
              </w:rPr>
            </w:pPr>
            <w:r>
              <w:rPr>
                <w:rFonts w:ascii="Times New Roman" w:hAnsi="Times New Roman" w:cs="Times New Roman"/>
                <w:szCs w:val="21"/>
              </w:rPr>
              <w:t>GB/T</w:t>
            </w:r>
            <w:r>
              <w:rPr>
                <w:rFonts w:hint="eastAsia" w:ascii="Times New Roman" w:hAnsi="Times New Roman" w:cs="Times New Roman"/>
                <w:szCs w:val="21"/>
              </w:rPr>
              <w:t xml:space="preserve"> </w:t>
            </w:r>
            <w:r>
              <w:rPr>
                <w:rFonts w:ascii="Times New Roman" w:hAnsi="Times New Roman" w:cs="Times New Roman"/>
                <w:szCs w:val="21"/>
              </w:rPr>
              <w:t>9754—2025</w:t>
            </w:r>
          </w:p>
          <w:p w14:paraId="0B524649">
            <w:pPr>
              <w:spacing w:line="440" w:lineRule="exact"/>
              <w:jc w:val="center"/>
              <w:rPr>
                <w:rFonts w:ascii="Times New Roman" w:hAnsi="Times New Roman" w:cs="Times New Roman"/>
                <w:szCs w:val="21"/>
              </w:rPr>
            </w:pPr>
            <w:r>
              <w:rPr>
                <w:rFonts w:ascii="Times New Roman" w:hAnsi="Times New Roman" w:cs="Times New Roman"/>
                <w:szCs w:val="21"/>
              </w:rPr>
              <w:t>GB/T 41953—2022</w:t>
            </w:r>
          </w:p>
          <w:p w14:paraId="6E5F07F4">
            <w:pPr>
              <w:spacing w:line="440" w:lineRule="exact"/>
              <w:jc w:val="center"/>
              <w:rPr>
                <w:rFonts w:ascii="Times New Roman" w:hAnsi="Times New Roman" w:cs="Times New Roman"/>
                <w:szCs w:val="21"/>
              </w:rPr>
            </w:pPr>
            <w:r>
              <w:rPr>
                <w:rFonts w:ascii="Times New Roman" w:hAnsi="Times New Roman" w:cs="Times New Roman"/>
                <w:szCs w:val="21"/>
              </w:rPr>
              <w:t>GB/T 23986.2—2023</w:t>
            </w:r>
          </w:p>
          <w:p w14:paraId="4EC106A3">
            <w:pPr>
              <w:spacing w:line="440" w:lineRule="exact"/>
              <w:jc w:val="center"/>
              <w:rPr>
                <w:rFonts w:ascii="Times New Roman" w:hAnsi="Times New Roman" w:cs="Times New Roman"/>
                <w:szCs w:val="21"/>
              </w:rPr>
            </w:pPr>
            <w:r>
              <w:rPr>
                <w:rFonts w:ascii="Times New Roman" w:hAnsi="Times New Roman" w:cs="Times New Roman"/>
                <w:szCs w:val="21"/>
              </w:rPr>
              <w:t>GB/T 23985—2009</w:t>
            </w:r>
          </w:p>
          <w:p w14:paraId="5E2883BD">
            <w:pPr>
              <w:spacing w:line="440" w:lineRule="exact"/>
              <w:jc w:val="center"/>
              <w:rPr>
                <w:rFonts w:ascii="Times New Roman" w:hAnsi="Times New Roman" w:cs="Times New Roman"/>
                <w:szCs w:val="21"/>
              </w:rPr>
            </w:pPr>
            <w:r>
              <w:rPr>
                <w:rFonts w:ascii="Times New Roman" w:hAnsi="Times New Roman" w:cs="Times New Roman"/>
                <w:szCs w:val="21"/>
              </w:rPr>
              <w:t>GB/T 1725—2007</w:t>
            </w:r>
          </w:p>
          <w:p w14:paraId="5352D269">
            <w:pPr>
              <w:spacing w:line="440" w:lineRule="exact"/>
              <w:jc w:val="center"/>
              <w:rPr>
                <w:rFonts w:ascii="Times New Roman" w:hAnsi="Times New Roman" w:cs="Times New Roman"/>
                <w:szCs w:val="21"/>
              </w:rPr>
            </w:pPr>
            <w:r>
              <w:rPr>
                <w:rFonts w:ascii="Times New Roman" w:hAnsi="Times New Roman" w:cs="Times New Roman"/>
                <w:szCs w:val="21"/>
              </w:rPr>
              <w:t>GB/T 34682—2017</w:t>
            </w:r>
          </w:p>
        </w:tc>
        <w:tc>
          <w:tcPr>
            <w:tcW w:w="1680" w:type="dxa"/>
            <w:vAlign w:val="center"/>
          </w:tcPr>
          <w:p w14:paraId="2B5EDD70">
            <w:pPr>
              <w:spacing w:line="440" w:lineRule="exact"/>
              <w:jc w:val="center"/>
              <w:rPr>
                <w:rFonts w:cs="宋体"/>
                <w:sz w:val="22"/>
                <w:szCs w:val="28"/>
              </w:rPr>
            </w:pPr>
          </w:p>
        </w:tc>
      </w:tr>
      <w:tr w14:paraId="115F0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52596573">
            <w:pPr>
              <w:jc w:val="center"/>
              <w:rPr>
                <w:rFonts w:ascii="Times New Roman" w:hAnsi="Times New Roman" w:cs="Times New Roman"/>
                <w:szCs w:val="21"/>
              </w:rPr>
            </w:pPr>
            <w:r>
              <w:rPr>
                <w:rFonts w:ascii="Times New Roman" w:hAnsi="Times New Roman" w:cs="Times New Roman"/>
                <w:szCs w:val="21"/>
              </w:rPr>
              <w:t>2</w:t>
            </w:r>
          </w:p>
        </w:tc>
        <w:tc>
          <w:tcPr>
            <w:tcW w:w="2674" w:type="dxa"/>
            <w:vAlign w:val="center"/>
          </w:tcPr>
          <w:p w14:paraId="4A95D4B4">
            <w:pPr>
              <w:spacing w:line="440" w:lineRule="exact"/>
              <w:jc w:val="center"/>
              <w:rPr>
                <w:rFonts w:cs="宋体"/>
                <w:sz w:val="22"/>
                <w:szCs w:val="28"/>
              </w:rPr>
            </w:pPr>
            <w:r>
              <w:rPr>
                <w:rFonts w:ascii="Times New Roman" w:hAnsi="Times New Roman" w:cs="Times New Roman"/>
                <w:sz w:val="22"/>
                <w:szCs w:val="28"/>
              </w:rPr>
              <w:t>VOCs</w:t>
            </w:r>
            <w:r>
              <w:rPr>
                <w:rFonts w:cs="宋体"/>
                <w:sz w:val="22"/>
                <w:szCs w:val="28"/>
              </w:rPr>
              <w:t>含量</w:t>
            </w:r>
          </w:p>
        </w:tc>
        <w:tc>
          <w:tcPr>
            <w:tcW w:w="1875" w:type="dxa"/>
            <w:vAlign w:val="center"/>
          </w:tcPr>
          <w:p w14:paraId="710DD4C1">
            <w:pPr>
              <w:spacing w:line="440" w:lineRule="exact"/>
              <w:jc w:val="center"/>
              <w:rPr>
                <w:rFonts w:ascii="Times New Roman" w:hAnsi="Times New Roman" w:cs="Times New Roman"/>
                <w:szCs w:val="21"/>
              </w:rPr>
            </w:pPr>
            <w:r>
              <w:rPr>
                <w:rFonts w:ascii="Times New Roman" w:hAnsi="Times New Roman" w:cs="Times New Roman"/>
                <w:szCs w:val="21"/>
              </w:rPr>
              <w:t>DB11/ 1983—2022</w:t>
            </w:r>
          </w:p>
        </w:tc>
        <w:tc>
          <w:tcPr>
            <w:tcW w:w="2130" w:type="dxa"/>
            <w:vAlign w:val="center"/>
          </w:tcPr>
          <w:p w14:paraId="3AA7E860">
            <w:pPr>
              <w:spacing w:line="440" w:lineRule="exact"/>
              <w:jc w:val="center"/>
              <w:rPr>
                <w:rFonts w:ascii="Times New Roman" w:hAnsi="Times New Roman" w:cs="Times New Roman"/>
                <w:szCs w:val="21"/>
              </w:rPr>
            </w:pPr>
            <w:r>
              <w:rPr>
                <w:rFonts w:ascii="Times New Roman" w:hAnsi="Times New Roman" w:cs="Times New Roman"/>
                <w:szCs w:val="21"/>
              </w:rPr>
              <w:t>GB/T 6750—2007</w:t>
            </w:r>
          </w:p>
          <w:p w14:paraId="568A72E1">
            <w:pPr>
              <w:spacing w:line="440" w:lineRule="exact"/>
              <w:jc w:val="center"/>
              <w:rPr>
                <w:rFonts w:ascii="Times New Roman" w:hAnsi="Times New Roman" w:cs="Times New Roman"/>
                <w:szCs w:val="21"/>
              </w:rPr>
            </w:pPr>
            <w:r>
              <w:rPr>
                <w:rFonts w:ascii="Times New Roman" w:hAnsi="Times New Roman" w:cs="Times New Roman"/>
                <w:szCs w:val="21"/>
              </w:rPr>
              <w:t>GB/T 23985—2009</w:t>
            </w:r>
          </w:p>
          <w:p w14:paraId="186610EF">
            <w:pPr>
              <w:spacing w:line="440" w:lineRule="exact"/>
              <w:jc w:val="center"/>
              <w:rPr>
                <w:rFonts w:ascii="Times New Roman" w:hAnsi="Times New Roman" w:cs="Times New Roman"/>
                <w:szCs w:val="21"/>
              </w:rPr>
            </w:pPr>
            <w:r>
              <w:rPr>
                <w:rFonts w:ascii="Times New Roman" w:hAnsi="Times New Roman" w:cs="Times New Roman"/>
                <w:szCs w:val="21"/>
              </w:rPr>
              <w:t>GB/T 23986—2009</w:t>
            </w:r>
          </w:p>
          <w:p w14:paraId="1EA46995">
            <w:pPr>
              <w:spacing w:line="440" w:lineRule="exact"/>
              <w:jc w:val="center"/>
              <w:rPr>
                <w:rFonts w:ascii="Times New Roman" w:hAnsi="Times New Roman" w:cs="Times New Roman"/>
                <w:szCs w:val="21"/>
              </w:rPr>
            </w:pPr>
            <w:r>
              <w:rPr>
                <w:rFonts w:ascii="Times New Roman" w:hAnsi="Times New Roman" w:cs="Times New Roman"/>
                <w:szCs w:val="21"/>
              </w:rPr>
              <w:t>GB 18582—2020</w:t>
            </w:r>
          </w:p>
          <w:p w14:paraId="24733AEB">
            <w:pPr>
              <w:spacing w:line="440" w:lineRule="exact"/>
              <w:jc w:val="center"/>
              <w:rPr>
                <w:rFonts w:ascii="Times New Roman" w:hAnsi="Times New Roman" w:cs="Times New Roman"/>
                <w:szCs w:val="21"/>
              </w:rPr>
            </w:pPr>
            <w:r>
              <w:rPr>
                <w:rFonts w:ascii="Times New Roman" w:hAnsi="Times New Roman" w:cs="Times New Roman"/>
                <w:szCs w:val="21"/>
              </w:rPr>
              <w:t>GB/T 1725—2007</w:t>
            </w:r>
          </w:p>
        </w:tc>
        <w:tc>
          <w:tcPr>
            <w:tcW w:w="1680" w:type="dxa"/>
            <w:vAlign w:val="center"/>
          </w:tcPr>
          <w:p w14:paraId="73A80F47">
            <w:pPr>
              <w:spacing w:line="440" w:lineRule="exact"/>
              <w:jc w:val="center"/>
              <w:rPr>
                <w:rFonts w:cs="宋体"/>
                <w:sz w:val="22"/>
                <w:szCs w:val="28"/>
              </w:rPr>
            </w:pPr>
          </w:p>
        </w:tc>
      </w:tr>
      <w:tr w14:paraId="7C4F0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02" w:type="dxa"/>
            <w:vAlign w:val="center"/>
          </w:tcPr>
          <w:p w14:paraId="04F7095C">
            <w:pPr>
              <w:jc w:val="center"/>
              <w:rPr>
                <w:rFonts w:ascii="Times New Roman" w:hAnsi="Times New Roman" w:cs="Times New Roman"/>
                <w:szCs w:val="21"/>
              </w:rPr>
            </w:pPr>
            <w:r>
              <w:rPr>
                <w:rFonts w:ascii="Times New Roman" w:hAnsi="Times New Roman" w:cs="Times New Roman"/>
                <w:szCs w:val="21"/>
              </w:rPr>
              <w:t>3</w:t>
            </w:r>
          </w:p>
        </w:tc>
        <w:tc>
          <w:tcPr>
            <w:tcW w:w="2674" w:type="dxa"/>
            <w:vAlign w:val="center"/>
          </w:tcPr>
          <w:p w14:paraId="142EC5B9">
            <w:pPr>
              <w:spacing w:line="440" w:lineRule="exact"/>
              <w:jc w:val="center"/>
              <w:rPr>
                <w:rFonts w:cs="宋体"/>
                <w:sz w:val="22"/>
                <w:szCs w:val="28"/>
              </w:rPr>
            </w:pPr>
            <w:r>
              <w:rPr>
                <w:rFonts w:cs="宋体"/>
                <w:sz w:val="22"/>
                <w:szCs w:val="28"/>
              </w:rPr>
              <w:t>游离甲醛</w:t>
            </w:r>
          </w:p>
        </w:tc>
        <w:tc>
          <w:tcPr>
            <w:tcW w:w="1875" w:type="dxa"/>
            <w:vAlign w:val="center"/>
          </w:tcPr>
          <w:p w14:paraId="6163FFA1">
            <w:pPr>
              <w:spacing w:line="440" w:lineRule="exact"/>
              <w:jc w:val="center"/>
              <w:rPr>
                <w:rFonts w:ascii="Times New Roman" w:hAnsi="Times New Roman" w:cs="Times New Roman"/>
                <w:szCs w:val="21"/>
              </w:rPr>
            </w:pPr>
            <w:r>
              <w:rPr>
                <w:rFonts w:ascii="Times New Roman" w:hAnsi="Times New Roman" w:cs="Times New Roman"/>
                <w:szCs w:val="21"/>
              </w:rPr>
              <w:t>JG/T 415—2013</w:t>
            </w:r>
          </w:p>
        </w:tc>
        <w:tc>
          <w:tcPr>
            <w:tcW w:w="2130" w:type="dxa"/>
            <w:vAlign w:val="center"/>
          </w:tcPr>
          <w:p w14:paraId="5452B0E2">
            <w:pPr>
              <w:widowControl/>
              <w:spacing w:line="440" w:lineRule="exact"/>
              <w:jc w:val="center"/>
              <w:rPr>
                <w:rFonts w:ascii="Times New Roman" w:hAnsi="Times New Roman" w:cs="Times New Roman"/>
                <w:szCs w:val="21"/>
              </w:rPr>
            </w:pPr>
            <w:r>
              <w:rPr>
                <w:rFonts w:ascii="Times New Roman" w:hAnsi="Times New Roman" w:cs="Times New Roman"/>
                <w:szCs w:val="21"/>
              </w:rPr>
              <w:t>JG/T 415—2013</w:t>
            </w:r>
            <w:r>
              <w:rPr>
                <w:rFonts w:ascii="Times New Roman" w:hAnsi="Times New Roman" w:cs="Times New Roman"/>
                <w:szCs w:val="21"/>
              </w:rPr>
              <w:br w:type="textWrapping"/>
            </w:r>
            <w:r>
              <w:rPr>
                <w:rFonts w:ascii="Times New Roman" w:hAnsi="Times New Roman" w:cs="Times New Roman"/>
                <w:szCs w:val="21"/>
              </w:rPr>
              <w:t>GB/T 23993—2009</w:t>
            </w:r>
          </w:p>
        </w:tc>
        <w:tc>
          <w:tcPr>
            <w:tcW w:w="1680" w:type="dxa"/>
            <w:vAlign w:val="center"/>
          </w:tcPr>
          <w:p w14:paraId="0358AF70">
            <w:pPr>
              <w:widowControl/>
              <w:spacing w:line="440" w:lineRule="exact"/>
              <w:jc w:val="center"/>
              <w:rPr>
                <w:rFonts w:cs="宋体"/>
                <w:sz w:val="22"/>
                <w:szCs w:val="28"/>
              </w:rPr>
            </w:pPr>
            <w:r>
              <w:rPr>
                <w:rFonts w:cs="宋体"/>
                <w:sz w:val="22"/>
                <w:szCs w:val="28"/>
              </w:rPr>
              <w:t>不适用于溶剂型膨胀防火涂料</w:t>
            </w:r>
          </w:p>
        </w:tc>
      </w:tr>
      <w:tr w14:paraId="69960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02" w:type="dxa"/>
            <w:vAlign w:val="center"/>
          </w:tcPr>
          <w:p w14:paraId="7FBDB329">
            <w:pPr>
              <w:jc w:val="center"/>
              <w:rPr>
                <w:rFonts w:ascii="Times New Roman" w:hAnsi="Times New Roman" w:cs="Times New Roman"/>
                <w:szCs w:val="21"/>
              </w:rPr>
            </w:pPr>
            <w:r>
              <w:rPr>
                <w:rFonts w:ascii="Times New Roman" w:hAnsi="Times New Roman" w:cs="Times New Roman"/>
                <w:szCs w:val="21"/>
              </w:rPr>
              <w:t>4</w:t>
            </w:r>
          </w:p>
        </w:tc>
        <w:tc>
          <w:tcPr>
            <w:tcW w:w="2674" w:type="dxa"/>
            <w:vAlign w:val="center"/>
          </w:tcPr>
          <w:p w14:paraId="2B8F1FA9">
            <w:pPr>
              <w:spacing w:line="440" w:lineRule="exact"/>
              <w:jc w:val="center"/>
              <w:rPr>
                <w:rFonts w:cs="宋体"/>
                <w:sz w:val="22"/>
                <w:szCs w:val="28"/>
              </w:rPr>
            </w:pPr>
            <w:r>
              <w:rPr>
                <w:rFonts w:cs="宋体"/>
                <w:sz w:val="22"/>
                <w:szCs w:val="28"/>
              </w:rPr>
              <w:t>可释放氨的量</w:t>
            </w:r>
          </w:p>
        </w:tc>
        <w:tc>
          <w:tcPr>
            <w:tcW w:w="1875" w:type="dxa"/>
            <w:vAlign w:val="center"/>
          </w:tcPr>
          <w:p w14:paraId="2CBE624C">
            <w:pPr>
              <w:spacing w:line="440" w:lineRule="exact"/>
              <w:jc w:val="center"/>
              <w:rPr>
                <w:rFonts w:ascii="Times New Roman" w:hAnsi="Times New Roman" w:cs="Times New Roman"/>
                <w:szCs w:val="21"/>
              </w:rPr>
            </w:pPr>
            <w:r>
              <w:rPr>
                <w:rFonts w:ascii="Times New Roman" w:hAnsi="Times New Roman" w:cs="Times New Roman"/>
                <w:szCs w:val="21"/>
              </w:rPr>
              <w:t>JG/T 415—2013</w:t>
            </w:r>
          </w:p>
        </w:tc>
        <w:tc>
          <w:tcPr>
            <w:tcW w:w="2130" w:type="dxa"/>
            <w:vAlign w:val="center"/>
          </w:tcPr>
          <w:p w14:paraId="1ECDD787">
            <w:pPr>
              <w:spacing w:line="440" w:lineRule="exact"/>
              <w:jc w:val="center"/>
              <w:rPr>
                <w:rFonts w:ascii="Times New Roman" w:hAnsi="Times New Roman" w:cs="Times New Roman"/>
                <w:szCs w:val="21"/>
              </w:rPr>
            </w:pPr>
            <w:r>
              <w:rPr>
                <w:rFonts w:ascii="Times New Roman" w:hAnsi="Times New Roman" w:cs="Times New Roman"/>
                <w:szCs w:val="21"/>
              </w:rPr>
              <w:t>JG/T 415—2013</w:t>
            </w:r>
          </w:p>
        </w:tc>
        <w:tc>
          <w:tcPr>
            <w:tcW w:w="1680" w:type="dxa"/>
            <w:vAlign w:val="center"/>
          </w:tcPr>
          <w:p w14:paraId="59D20852">
            <w:pPr>
              <w:spacing w:line="440" w:lineRule="exact"/>
              <w:jc w:val="center"/>
              <w:rPr>
                <w:rFonts w:cs="宋体"/>
                <w:sz w:val="22"/>
                <w:szCs w:val="28"/>
              </w:rPr>
            </w:pPr>
          </w:p>
        </w:tc>
      </w:tr>
      <w:tr w14:paraId="67A5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3B99990D">
            <w:pPr>
              <w:jc w:val="center"/>
              <w:rPr>
                <w:rFonts w:ascii="Times New Roman" w:hAnsi="Times New Roman" w:cs="Times New Roman"/>
                <w:szCs w:val="21"/>
              </w:rPr>
            </w:pPr>
            <w:r>
              <w:rPr>
                <w:rFonts w:ascii="Times New Roman" w:hAnsi="Times New Roman" w:cs="Times New Roman"/>
                <w:szCs w:val="21"/>
              </w:rPr>
              <w:t>5</w:t>
            </w:r>
          </w:p>
        </w:tc>
        <w:tc>
          <w:tcPr>
            <w:tcW w:w="2674" w:type="dxa"/>
            <w:vAlign w:val="center"/>
          </w:tcPr>
          <w:p w14:paraId="0E914FF5">
            <w:pPr>
              <w:spacing w:line="440" w:lineRule="exact"/>
              <w:jc w:val="center"/>
              <w:rPr>
                <w:rFonts w:cs="宋体"/>
                <w:sz w:val="22"/>
                <w:szCs w:val="28"/>
              </w:rPr>
            </w:pPr>
            <w:r>
              <w:rPr>
                <w:rFonts w:cs="宋体"/>
                <w:sz w:val="22"/>
                <w:szCs w:val="28"/>
              </w:rPr>
              <w:t>苯</w:t>
            </w:r>
          </w:p>
        </w:tc>
        <w:tc>
          <w:tcPr>
            <w:tcW w:w="1875" w:type="dxa"/>
            <w:vAlign w:val="center"/>
          </w:tcPr>
          <w:p w14:paraId="77B5215F">
            <w:pPr>
              <w:spacing w:line="440" w:lineRule="exact"/>
              <w:jc w:val="center"/>
              <w:rPr>
                <w:rFonts w:ascii="Times New Roman" w:hAnsi="Times New Roman" w:cs="Times New Roman"/>
                <w:szCs w:val="21"/>
              </w:rPr>
            </w:pPr>
            <w:r>
              <w:rPr>
                <w:rFonts w:ascii="Times New Roman" w:hAnsi="Times New Roman" w:cs="Times New Roman"/>
                <w:szCs w:val="21"/>
              </w:rPr>
              <w:t>JG/T 415—2013</w:t>
            </w:r>
          </w:p>
        </w:tc>
        <w:tc>
          <w:tcPr>
            <w:tcW w:w="2130" w:type="dxa"/>
            <w:vAlign w:val="center"/>
          </w:tcPr>
          <w:p w14:paraId="7ACE42A1">
            <w:pPr>
              <w:spacing w:line="440" w:lineRule="exact"/>
              <w:jc w:val="center"/>
              <w:rPr>
                <w:rFonts w:ascii="Times New Roman" w:hAnsi="Times New Roman" w:cs="Times New Roman"/>
                <w:szCs w:val="21"/>
              </w:rPr>
            </w:pPr>
            <w:r>
              <w:rPr>
                <w:rFonts w:ascii="Times New Roman" w:hAnsi="Times New Roman" w:cs="Times New Roman"/>
                <w:szCs w:val="21"/>
              </w:rPr>
              <w:t>JG/T 415—2013</w:t>
            </w:r>
            <w:r>
              <w:rPr>
                <w:rFonts w:ascii="Times New Roman" w:hAnsi="Times New Roman" w:cs="Times New Roman"/>
                <w:szCs w:val="21"/>
              </w:rPr>
              <w:br w:type="textWrapping"/>
            </w:r>
            <w:r>
              <w:rPr>
                <w:rFonts w:ascii="Times New Roman" w:hAnsi="Times New Roman" w:cs="Times New Roman"/>
                <w:szCs w:val="21"/>
              </w:rPr>
              <w:t>GB 18582—2008</w:t>
            </w:r>
          </w:p>
        </w:tc>
        <w:tc>
          <w:tcPr>
            <w:tcW w:w="1680" w:type="dxa"/>
            <w:vAlign w:val="center"/>
          </w:tcPr>
          <w:p w14:paraId="55DF03E9">
            <w:pPr>
              <w:spacing w:line="440" w:lineRule="exact"/>
              <w:jc w:val="center"/>
              <w:rPr>
                <w:rFonts w:cs="宋体"/>
                <w:sz w:val="22"/>
                <w:szCs w:val="28"/>
              </w:rPr>
            </w:pPr>
          </w:p>
        </w:tc>
      </w:tr>
      <w:tr w14:paraId="4871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64294FF4">
            <w:pPr>
              <w:jc w:val="center"/>
              <w:rPr>
                <w:rFonts w:ascii="Times New Roman" w:hAnsi="Times New Roman" w:cs="Times New Roman"/>
                <w:szCs w:val="21"/>
              </w:rPr>
            </w:pPr>
            <w:r>
              <w:rPr>
                <w:rFonts w:hint="eastAsia" w:ascii="Times New Roman" w:hAnsi="Times New Roman" w:cs="Times New Roman"/>
                <w:szCs w:val="21"/>
              </w:rPr>
              <w:t>6</w:t>
            </w:r>
          </w:p>
        </w:tc>
        <w:tc>
          <w:tcPr>
            <w:tcW w:w="2674" w:type="dxa"/>
            <w:vAlign w:val="center"/>
          </w:tcPr>
          <w:p w14:paraId="1FED354F">
            <w:pPr>
              <w:spacing w:line="440" w:lineRule="exact"/>
              <w:jc w:val="center"/>
              <w:rPr>
                <w:rFonts w:cs="宋体"/>
                <w:sz w:val="22"/>
                <w:szCs w:val="28"/>
              </w:rPr>
            </w:pPr>
            <w:r>
              <w:rPr>
                <w:rFonts w:cs="宋体"/>
                <w:sz w:val="22"/>
                <w:szCs w:val="28"/>
              </w:rPr>
              <w:t>苯</w:t>
            </w:r>
            <w:r>
              <w:rPr>
                <w:rFonts w:hint="eastAsia" w:cs="宋体"/>
                <w:sz w:val="22"/>
                <w:szCs w:val="28"/>
              </w:rPr>
              <w:t>含量</w:t>
            </w:r>
          </w:p>
        </w:tc>
        <w:tc>
          <w:tcPr>
            <w:tcW w:w="1875" w:type="dxa"/>
            <w:vAlign w:val="center"/>
          </w:tcPr>
          <w:p w14:paraId="6A22E03A">
            <w:pPr>
              <w:spacing w:line="440" w:lineRule="exact"/>
              <w:jc w:val="center"/>
              <w:rPr>
                <w:rFonts w:ascii="Times New Roman" w:hAnsi="Times New Roman" w:cs="Times New Roman"/>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57010AAE">
            <w:pPr>
              <w:spacing w:line="440" w:lineRule="exact"/>
              <w:jc w:val="center"/>
              <w:rPr>
                <w:rFonts w:ascii="Times New Roman" w:hAnsi="Times New Roman" w:cs="Times New Roman"/>
                <w:szCs w:val="21"/>
              </w:rPr>
            </w:pPr>
            <w:r>
              <w:rPr>
                <w:rFonts w:ascii="Times New Roman" w:hAnsi="Times New Roman" w:cs="Times New Roman"/>
                <w:szCs w:val="21"/>
              </w:rPr>
              <w:t>GB/T 23990—2009</w:t>
            </w:r>
          </w:p>
        </w:tc>
        <w:tc>
          <w:tcPr>
            <w:tcW w:w="1680" w:type="dxa"/>
            <w:vAlign w:val="center"/>
          </w:tcPr>
          <w:p w14:paraId="5E03877B">
            <w:pPr>
              <w:spacing w:line="440" w:lineRule="exact"/>
              <w:jc w:val="center"/>
              <w:rPr>
                <w:rFonts w:cs="宋体"/>
                <w:sz w:val="22"/>
                <w:szCs w:val="28"/>
              </w:rPr>
            </w:pPr>
            <w:r>
              <w:rPr>
                <w:rFonts w:hint="eastAsia" w:cs="宋体"/>
                <w:sz w:val="22"/>
                <w:szCs w:val="28"/>
              </w:rPr>
              <w:t>方法A，限溶剂型</w:t>
            </w:r>
          </w:p>
        </w:tc>
      </w:tr>
      <w:tr w14:paraId="27B0B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4127B020">
            <w:pPr>
              <w:jc w:val="center"/>
              <w:rPr>
                <w:rFonts w:ascii="Times New Roman" w:hAnsi="Times New Roman" w:cs="Times New Roman"/>
                <w:szCs w:val="21"/>
              </w:rPr>
            </w:pPr>
            <w:r>
              <w:rPr>
                <w:rFonts w:hint="eastAsia" w:ascii="Times New Roman" w:hAnsi="Times New Roman" w:cs="Times New Roman"/>
                <w:szCs w:val="21"/>
              </w:rPr>
              <w:t>7</w:t>
            </w:r>
          </w:p>
        </w:tc>
        <w:tc>
          <w:tcPr>
            <w:tcW w:w="2674" w:type="dxa"/>
            <w:vAlign w:val="center"/>
          </w:tcPr>
          <w:p w14:paraId="2A9C8A60">
            <w:pPr>
              <w:spacing w:line="440" w:lineRule="exact"/>
              <w:jc w:val="center"/>
              <w:rPr>
                <w:rFonts w:cs="宋体"/>
                <w:sz w:val="22"/>
                <w:szCs w:val="28"/>
              </w:rPr>
            </w:pPr>
            <w:r>
              <w:rPr>
                <w:rFonts w:hint="eastAsia" w:cs="宋体"/>
                <w:sz w:val="22"/>
                <w:szCs w:val="28"/>
              </w:rPr>
              <w:t>苯系物总和含量</w:t>
            </w:r>
          </w:p>
        </w:tc>
        <w:tc>
          <w:tcPr>
            <w:tcW w:w="1875" w:type="dxa"/>
            <w:vAlign w:val="center"/>
          </w:tcPr>
          <w:p w14:paraId="52755B0B">
            <w:pPr>
              <w:spacing w:line="440" w:lineRule="exact"/>
              <w:jc w:val="center"/>
              <w:rPr>
                <w:rFonts w:ascii="Times New Roman" w:hAnsi="Times New Roman" w:cs="Times New Roman"/>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7B328A7C">
            <w:pPr>
              <w:spacing w:line="440" w:lineRule="exact"/>
              <w:jc w:val="center"/>
              <w:rPr>
                <w:rFonts w:ascii="Times New Roman" w:hAnsi="Times New Roman" w:cs="Times New Roman"/>
                <w:szCs w:val="21"/>
              </w:rPr>
            </w:pPr>
            <w:r>
              <w:rPr>
                <w:rFonts w:ascii="Times New Roman" w:hAnsi="Times New Roman" w:cs="Times New Roman"/>
                <w:szCs w:val="21"/>
              </w:rPr>
              <w:t>GB/T 23990—2009</w:t>
            </w:r>
          </w:p>
        </w:tc>
        <w:tc>
          <w:tcPr>
            <w:tcW w:w="1680" w:type="dxa"/>
            <w:vAlign w:val="center"/>
          </w:tcPr>
          <w:p w14:paraId="5CF7C0EA">
            <w:pPr>
              <w:spacing w:line="440" w:lineRule="exact"/>
              <w:jc w:val="center"/>
              <w:rPr>
                <w:rFonts w:cs="宋体"/>
                <w:sz w:val="22"/>
                <w:szCs w:val="28"/>
              </w:rPr>
            </w:pPr>
            <w:r>
              <w:rPr>
                <w:rFonts w:hint="eastAsia" w:cs="宋体"/>
                <w:sz w:val="22"/>
                <w:szCs w:val="28"/>
              </w:rPr>
              <w:t>方法B，限水性</w:t>
            </w:r>
          </w:p>
        </w:tc>
      </w:tr>
      <w:tr w14:paraId="1EB51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40D90A05">
            <w:pPr>
              <w:jc w:val="center"/>
              <w:rPr>
                <w:rFonts w:ascii="Times New Roman" w:hAnsi="Times New Roman" w:cs="Times New Roman"/>
                <w:szCs w:val="21"/>
              </w:rPr>
            </w:pPr>
            <w:r>
              <w:rPr>
                <w:rFonts w:hint="eastAsia" w:ascii="Times New Roman" w:hAnsi="Times New Roman" w:cs="Times New Roman"/>
                <w:szCs w:val="21"/>
              </w:rPr>
              <w:t>8</w:t>
            </w:r>
          </w:p>
        </w:tc>
        <w:tc>
          <w:tcPr>
            <w:tcW w:w="2674" w:type="dxa"/>
            <w:vAlign w:val="center"/>
          </w:tcPr>
          <w:p w14:paraId="61623A01">
            <w:pPr>
              <w:spacing w:line="440" w:lineRule="exact"/>
              <w:jc w:val="center"/>
              <w:rPr>
                <w:rFonts w:cs="宋体"/>
                <w:sz w:val="22"/>
                <w:szCs w:val="28"/>
              </w:rPr>
            </w:pPr>
            <w:r>
              <w:rPr>
                <w:rFonts w:cs="宋体"/>
                <w:sz w:val="22"/>
                <w:szCs w:val="28"/>
              </w:rPr>
              <w:t>甲苯</w:t>
            </w:r>
            <w:r>
              <w:rPr>
                <w:rFonts w:hint="eastAsia" w:cs="宋体"/>
                <w:sz w:val="22"/>
                <w:szCs w:val="28"/>
              </w:rPr>
              <w:t>与二甲苯（含乙苯）</w:t>
            </w:r>
            <w:r>
              <w:rPr>
                <w:rFonts w:cs="宋体"/>
                <w:sz w:val="22"/>
                <w:szCs w:val="28"/>
              </w:rPr>
              <w:t>总和</w:t>
            </w:r>
            <w:r>
              <w:rPr>
                <w:rFonts w:hint="eastAsia" w:cs="宋体"/>
                <w:sz w:val="22"/>
                <w:szCs w:val="28"/>
              </w:rPr>
              <w:t>含量</w:t>
            </w:r>
          </w:p>
        </w:tc>
        <w:tc>
          <w:tcPr>
            <w:tcW w:w="1875" w:type="dxa"/>
            <w:vAlign w:val="center"/>
          </w:tcPr>
          <w:p w14:paraId="1058308D">
            <w:pPr>
              <w:spacing w:line="440" w:lineRule="exact"/>
              <w:jc w:val="center"/>
              <w:rPr>
                <w:rFonts w:ascii="Times New Roman" w:hAnsi="Times New Roman" w:cs="Times New Roman"/>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224B5230">
            <w:pPr>
              <w:spacing w:line="440" w:lineRule="exact"/>
              <w:jc w:val="center"/>
              <w:rPr>
                <w:rFonts w:ascii="Times New Roman" w:hAnsi="Times New Roman" w:cs="Times New Roman"/>
                <w:szCs w:val="21"/>
              </w:rPr>
            </w:pPr>
            <w:r>
              <w:rPr>
                <w:rFonts w:ascii="Times New Roman" w:hAnsi="Times New Roman" w:cs="Times New Roman"/>
                <w:szCs w:val="21"/>
              </w:rPr>
              <w:t>GB/T 23990—2009</w:t>
            </w:r>
          </w:p>
        </w:tc>
        <w:tc>
          <w:tcPr>
            <w:tcW w:w="1680" w:type="dxa"/>
            <w:vAlign w:val="center"/>
          </w:tcPr>
          <w:p w14:paraId="3E9CC16C">
            <w:pPr>
              <w:spacing w:line="440" w:lineRule="exact"/>
              <w:jc w:val="center"/>
              <w:rPr>
                <w:rFonts w:cs="宋体"/>
                <w:sz w:val="22"/>
                <w:szCs w:val="28"/>
              </w:rPr>
            </w:pPr>
            <w:r>
              <w:rPr>
                <w:rFonts w:hint="eastAsia" w:cs="宋体"/>
                <w:sz w:val="22"/>
                <w:szCs w:val="28"/>
              </w:rPr>
              <w:t>方法A，限溶剂型</w:t>
            </w:r>
          </w:p>
        </w:tc>
      </w:tr>
      <w:tr w14:paraId="31E7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2482CF99">
            <w:pPr>
              <w:jc w:val="center"/>
              <w:rPr>
                <w:rFonts w:ascii="Times New Roman" w:hAnsi="Times New Roman" w:cs="Times New Roman"/>
                <w:szCs w:val="21"/>
              </w:rPr>
            </w:pPr>
            <w:r>
              <w:rPr>
                <w:rFonts w:hint="eastAsia" w:ascii="Times New Roman" w:hAnsi="Times New Roman" w:cs="Times New Roman"/>
                <w:szCs w:val="21"/>
              </w:rPr>
              <w:t>9</w:t>
            </w:r>
          </w:p>
        </w:tc>
        <w:tc>
          <w:tcPr>
            <w:tcW w:w="2674" w:type="dxa"/>
            <w:vAlign w:val="center"/>
          </w:tcPr>
          <w:p w14:paraId="4962D841">
            <w:pPr>
              <w:spacing w:line="440" w:lineRule="exact"/>
              <w:jc w:val="center"/>
              <w:rPr>
                <w:rFonts w:cs="宋体"/>
                <w:sz w:val="22"/>
                <w:szCs w:val="28"/>
              </w:rPr>
            </w:pPr>
            <w:r>
              <w:rPr>
                <w:rFonts w:cs="宋体"/>
                <w:sz w:val="22"/>
                <w:szCs w:val="28"/>
              </w:rPr>
              <w:t>卤代烃</w:t>
            </w:r>
            <w:r>
              <w:rPr>
                <w:rFonts w:hint="eastAsia" w:cs="宋体"/>
                <w:sz w:val="22"/>
                <w:szCs w:val="28"/>
              </w:rPr>
              <w:t>总和含量</w:t>
            </w:r>
          </w:p>
        </w:tc>
        <w:tc>
          <w:tcPr>
            <w:tcW w:w="1875" w:type="dxa"/>
            <w:vAlign w:val="center"/>
          </w:tcPr>
          <w:p w14:paraId="700F0DE0">
            <w:pPr>
              <w:spacing w:line="440" w:lineRule="exact"/>
              <w:jc w:val="center"/>
              <w:rPr>
                <w:rFonts w:ascii="Times New Roman" w:hAnsi="Times New Roman" w:cs="Times New Roman"/>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0C944988">
            <w:pPr>
              <w:spacing w:line="440" w:lineRule="exact"/>
              <w:jc w:val="center"/>
              <w:rPr>
                <w:rFonts w:ascii="Times New Roman" w:hAnsi="Times New Roman" w:cs="Times New Roman"/>
                <w:szCs w:val="21"/>
              </w:rPr>
            </w:pPr>
            <w:r>
              <w:rPr>
                <w:rFonts w:ascii="Times New Roman" w:hAnsi="Times New Roman" w:cs="Times New Roman"/>
                <w:szCs w:val="21"/>
              </w:rPr>
              <w:t>GB/T 23992—2009</w:t>
            </w:r>
          </w:p>
        </w:tc>
        <w:tc>
          <w:tcPr>
            <w:tcW w:w="1680" w:type="dxa"/>
            <w:vAlign w:val="center"/>
          </w:tcPr>
          <w:p w14:paraId="2FD5A353">
            <w:pPr>
              <w:spacing w:line="440" w:lineRule="exact"/>
              <w:jc w:val="center"/>
              <w:rPr>
                <w:rFonts w:cs="宋体"/>
                <w:sz w:val="22"/>
                <w:szCs w:val="28"/>
              </w:rPr>
            </w:pPr>
            <w:r>
              <w:rPr>
                <w:rFonts w:hint="eastAsia" w:cs="宋体"/>
                <w:sz w:val="22"/>
                <w:szCs w:val="28"/>
              </w:rPr>
              <w:t>限溶剂型</w:t>
            </w:r>
          </w:p>
        </w:tc>
      </w:tr>
      <w:tr w14:paraId="45A9A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176C578C">
            <w:pPr>
              <w:jc w:val="center"/>
              <w:rPr>
                <w:rFonts w:ascii="Times New Roman" w:hAnsi="Times New Roman" w:cs="Times New Roman"/>
                <w:szCs w:val="21"/>
              </w:rPr>
            </w:pPr>
            <w:r>
              <w:rPr>
                <w:rFonts w:hint="eastAsia" w:ascii="Times New Roman" w:hAnsi="Times New Roman" w:cs="Times New Roman"/>
                <w:szCs w:val="21"/>
              </w:rPr>
              <w:t>10</w:t>
            </w:r>
          </w:p>
        </w:tc>
        <w:tc>
          <w:tcPr>
            <w:tcW w:w="2674" w:type="dxa"/>
            <w:vAlign w:val="center"/>
          </w:tcPr>
          <w:p w14:paraId="32674690">
            <w:pPr>
              <w:spacing w:line="440" w:lineRule="exact"/>
              <w:jc w:val="center"/>
              <w:rPr>
                <w:rFonts w:cs="宋体"/>
                <w:sz w:val="22"/>
                <w:szCs w:val="28"/>
              </w:rPr>
            </w:pPr>
            <w:r>
              <w:rPr>
                <w:rFonts w:hint="eastAsia" w:cs="宋体"/>
                <w:sz w:val="22"/>
                <w:szCs w:val="28"/>
              </w:rPr>
              <w:t>多环芳烃总和含量</w:t>
            </w:r>
          </w:p>
        </w:tc>
        <w:tc>
          <w:tcPr>
            <w:tcW w:w="1875" w:type="dxa"/>
            <w:vAlign w:val="center"/>
          </w:tcPr>
          <w:p w14:paraId="3F0ADEB3">
            <w:pPr>
              <w:spacing w:line="440" w:lineRule="exact"/>
              <w:jc w:val="center"/>
              <w:rPr>
                <w:rFonts w:ascii="Times New Roman" w:hAnsi="Times New Roman" w:cs="Times New Roman"/>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1F0E5172">
            <w:pPr>
              <w:spacing w:line="440" w:lineRule="exact"/>
              <w:jc w:val="center"/>
              <w:rPr>
                <w:rFonts w:ascii="Times New Roman" w:hAnsi="Times New Roman" w:cs="Times New Roman"/>
                <w:szCs w:val="21"/>
              </w:rPr>
            </w:pPr>
            <w:r>
              <w:rPr>
                <w:rFonts w:ascii="Times New Roman" w:hAnsi="Times New Roman" w:cs="Times New Roman"/>
                <w:szCs w:val="21"/>
              </w:rPr>
              <w:t>GB/T</w:t>
            </w:r>
            <w:r>
              <w:rPr>
                <w:rFonts w:hint="eastAsia" w:ascii="Times New Roman" w:hAnsi="Times New Roman" w:cs="Times New Roman"/>
                <w:szCs w:val="21"/>
              </w:rPr>
              <w:t xml:space="preserve"> </w:t>
            </w:r>
            <w:r>
              <w:rPr>
                <w:rFonts w:ascii="Times New Roman" w:hAnsi="Times New Roman" w:cs="Times New Roman"/>
                <w:szCs w:val="21"/>
              </w:rPr>
              <w:t>36488—2018</w:t>
            </w:r>
          </w:p>
        </w:tc>
        <w:tc>
          <w:tcPr>
            <w:tcW w:w="1680" w:type="dxa"/>
            <w:vAlign w:val="center"/>
          </w:tcPr>
          <w:p w14:paraId="035742C8">
            <w:pPr>
              <w:jc w:val="center"/>
              <w:rPr>
                <w:rFonts w:cs="宋体"/>
                <w:sz w:val="22"/>
                <w:szCs w:val="28"/>
              </w:rPr>
            </w:pPr>
            <w:r>
              <w:rPr>
                <w:rFonts w:hint="eastAsia" w:cs="宋体"/>
                <w:sz w:val="22"/>
                <w:szCs w:val="28"/>
              </w:rPr>
              <w:t>限溶剂型</w:t>
            </w:r>
          </w:p>
        </w:tc>
      </w:tr>
      <w:tr w14:paraId="6E46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18825616">
            <w:pPr>
              <w:jc w:val="center"/>
              <w:rPr>
                <w:rFonts w:ascii="Times New Roman" w:hAnsi="Times New Roman" w:cs="Times New Roman"/>
                <w:szCs w:val="21"/>
              </w:rPr>
            </w:pPr>
            <w:r>
              <w:rPr>
                <w:rFonts w:hint="eastAsia" w:ascii="Times New Roman" w:hAnsi="Times New Roman" w:cs="Times New Roman"/>
                <w:szCs w:val="21"/>
              </w:rPr>
              <w:t>11</w:t>
            </w:r>
          </w:p>
        </w:tc>
        <w:tc>
          <w:tcPr>
            <w:tcW w:w="2674" w:type="dxa"/>
            <w:vAlign w:val="center"/>
          </w:tcPr>
          <w:p w14:paraId="5B2D4BEE">
            <w:pPr>
              <w:spacing w:line="440" w:lineRule="exact"/>
              <w:jc w:val="center"/>
              <w:rPr>
                <w:rFonts w:cs="宋体"/>
                <w:sz w:val="22"/>
                <w:szCs w:val="28"/>
              </w:rPr>
            </w:pPr>
            <w:r>
              <w:rPr>
                <w:rFonts w:hint="eastAsia" w:cs="宋体"/>
                <w:sz w:val="22"/>
                <w:szCs w:val="28"/>
              </w:rPr>
              <w:t>乙二醇醚及醚酯总和含量</w:t>
            </w:r>
          </w:p>
        </w:tc>
        <w:tc>
          <w:tcPr>
            <w:tcW w:w="1875" w:type="dxa"/>
            <w:vAlign w:val="center"/>
          </w:tcPr>
          <w:p w14:paraId="73C6BD4E">
            <w:pPr>
              <w:spacing w:line="440" w:lineRule="exact"/>
              <w:jc w:val="center"/>
              <w:rPr>
                <w:rFonts w:ascii="Times New Roman" w:hAnsi="Times New Roman" w:cs="Times New Roman"/>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2A593CFE">
            <w:pPr>
              <w:spacing w:line="440" w:lineRule="exact"/>
              <w:jc w:val="center"/>
              <w:rPr>
                <w:rFonts w:ascii="Times New Roman" w:hAnsi="Times New Roman" w:cs="Times New Roman"/>
                <w:szCs w:val="21"/>
              </w:rPr>
            </w:pPr>
            <w:r>
              <w:rPr>
                <w:rFonts w:ascii="Times New Roman" w:hAnsi="Times New Roman" w:cs="Times New Roman"/>
                <w:szCs w:val="21"/>
              </w:rPr>
              <w:t>GB/T 23986.2—2023</w:t>
            </w:r>
          </w:p>
        </w:tc>
        <w:tc>
          <w:tcPr>
            <w:tcW w:w="1680" w:type="dxa"/>
            <w:vAlign w:val="center"/>
          </w:tcPr>
          <w:p w14:paraId="3C85A63A">
            <w:pPr>
              <w:jc w:val="center"/>
              <w:rPr>
                <w:rFonts w:cs="宋体"/>
                <w:sz w:val="22"/>
                <w:szCs w:val="28"/>
              </w:rPr>
            </w:pPr>
          </w:p>
        </w:tc>
      </w:tr>
      <w:tr w14:paraId="2540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309741D3">
            <w:pPr>
              <w:jc w:val="center"/>
              <w:rPr>
                <w:rFonts w:ascii="Times New Roman" w:hAnsi="Times New Roman" w:cs="Times New Roman"/>
                <w:szCs w:val="21"/>
              </w:rPr>
            </w:pPr>
            <w:r>
              <w:rPr>
                <w:rFonts w:hint="eastAsia" w:ascii="Times New Roman" w:hAnsi="Times New Roman" w:cs="Times New Roman"/>
                <w:szCs w:val="21"/>
              </w:rPr>
              <w:t>12</w:t>
            </w:r>
          </w:p>
        </w:tc>
        <w:tc>
          <w:tcPr>
            <w:tcW w:w="2674" w:type="dxa"/>
            <w:vAlign w:val="center"/>
          </w:tcPr>
          <w:p w14:paraId="35C50742">
            <w:pPr>
              <w:spacing w:line="440" w:lineRule="exact"/>
              <w:jc w:val="center"/>
              <w:rPr>
                <w:rFonts w:cs="宋体"/>
                <w:sz w:val="22"/>
                <w:szCs w:val="28"/>
              </w:rPr>
            </w:pPr>
            <w:r>
              <w:rPr>
                <w:rFonts w:hint="eastAsia" w:cs="宋体"/>
                <w:sz w:val="22"/>
                <w:szCs w:val="28"/>
              </w:rPr>
              <w:t>总重金属含量（铅、镉、六价铬、汞）</w:t>
            </w:r>
          </w:p>
        </w:tc>
        <w:tc>
          <w:tcPr>
            <w:tcW w:w="1875" w:type="dxa"/>
            <w:vAlign w:val="center"/>
          </w:tcPr>
          <w:p w14:paraId="62B42D04">
            <w:pPr>
              <w:spacing w:line="440" w:lineRule="exact"/>
              <w:jc w:val="center"/>
              <w:rPr>
                <w:rFonts w:ascii="Times New Roman" w:hAnsi="Times New Roman" w:cs="Times New Roman"/>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352FDB94">
            <w:pPr>
              <w:spacing w:line="440" w:lineRule="exact"/>
              <w:jc w:val="center"/>
              <w:rPr>
                <w:rFonts w:ascii="Times New Roman" w:hAnsi="Times New Roman" w:cs="Times New Roman"/>
                <w:szCs w:val="21"/>
              </w:rPr>
            </w:pPr>
            <w:r>
              <w:rPr>
                <w:rFonts w:ascii="Times New Roman" w:hAnsi="Times New Roman" w:cs="Times New Roman"/>
                <w:szCs w:val="21"/>
              </w:rPr>
              <w:t>GB/T 30647—2014 GB</w:t>
            </w:r>
            <w:r>
              <w:rPr>
                <w:rFonts w:hint="eastAsia" w:ascii="Times New Roman" w:hAnsi="Times New Roman" w:cs="Times New Roman"/>
                <w:szCs w:val="21"/>
              </w:rPr>
              <w:t xml:space="preserve"> </w:t>
            </w:r>
            <w:r>
              <w:rPr>
                <w:rFonts w:ascii="Times New Roman" w:hAnsi="Times New Roman" w:cs="Times New Roman"/>
                <w:szCs w:val="21"/>
              </w:rPr>
              <w:t>30981.1—2025</w:t>
            </w:r>
          </w:p>
        </w:tc>
        <w:tc>
          <w:tcPr>
            <w:tcW w:w="1680" w:type="dxa"/>
            <w:vAlign w:val="center"/>
          </w:tcPr>
          <w:p w14:paraId="0807908A">
            <w:pPr>
              <w:jc w:val="center"/>
              <w:rPr>
                <w:rFonts w:cs="宋体"/>
                <w:sz w:val="22"/>
                <w:szCs w:val="28"/>
              </w:rPr>
            </w:pPr>
            <w:r>
              <w:rPr>
                <w:rFonts w:hint="eastAsia" w:cs="宋体"/>
                <w:sz w:val="22"/>
                <w:szCs w:val="28"/>
              </w:rPr>
              <w:t>限色漆</w:t>
            </w:r>
          </w:p>
        </w:tc>
      </w:tr>
      <w:tr w14:paraId="3A93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3E57BA6E">
            <w:pPr>
              <w:jc w:val="center"/>
              <w:rPr>
                <w:rFonts w:ascii="Times New Roman" w:hAnsi="Times New Roman" w:cs="Times New Roman"/>
                <w:szCs w:val="21"/>
              </w:rPr>
            </w:pPr>
            <w:r>
              <w:rPr>
                <w:rFonts w:hint="eastAsia" w:ascii="Times New Roman" w:hAnsi="Times New Roman" w:cs="Times New Roman"/>
                <w:szCs w:val="21"/>
              </w:rPr>
              <w:t>13</w:t>
            </w:r>
          </w:p>
        </w:tc>
        <w:tc>
          <w:tcPr>
            <w:tcW w:w="2674" w:type="dxa"/>
            <w:vAlign w:val="center"/>
          </w:tcPr>
          <w:p w14:paraId="4697E434">
            <w:pPr>
              <w:spacing w:line="440" w:lineRule="exact"/>
              <w:jc w:val="center"/>
              <w:rPr>
                <w:rFonts w:cs="宋体"/>
                <w:sz w:val="22"/>
                <w:szCs w:val="28"/>
              </w:rPr>
            </w:pPr>
            <w:r>
              <w:rPr>
                <w:rFonts w:hint="eastAsia" w:cs="宋体"/>
                <w:sz w:val="22"/>
                <w:szCs w:val="28"/>
              </w:rPr>
              <w:t>可溶性元素[铬（Cr）]含量</w:t>
            </w:r>
          </w:p>
        </w:tc>
        <w:tc>
          <w:tcPr>
            <w:tcW w:w="1875" w:type="dxa"/>
            <w:vAlign w:val="center"/>
          </w:tcPr>
          <w:p w14:paraId="4C1A7B5A">
            <w:pPr>
              <w:widowControl/>
              <w:jc w:val="center"/>
              <w:rPr>
                <w:rFonts w:ascii="Times New Roman" w:hAnsi="Times New Roman" w:cs="Times New Roman"/>
                <w:kern w:val="0"/>
                <w:szCs w:val="21"/>
              </w:rPr>
            </w:pPr>
            <w:r>
              <w:rPr>
                <w:rFonts w:ascii="Times New Roman" w:hAnsi="Times New Roman" w:cs="Times New Roman"/>
                <w:szCs w:val="21"/>
              </w:rPr>
              <w:t>GB</w:t>
            </w:r>
            <w:r>
              <w:rPr>
                <w:rFonts w:hint="eastAsia" w:ascii="Times New Roman" w:hAnsi="Times New Roman" w:cs="Times New Roman"/>
                <w:szCs w:val="21"/>
              </w:rPr>
              <w:t xml:space="preserve"> </w:t>
            </w:r>
            <w:r>
              <w:rPr>
                <w:rFonts w:ascii="Times New Roman" w:hAnsi="Times New Roman" w:cs="Times New Roman"/>
                <w:szCs w:val="21"/>
              </w:rPr>
              <w:t>30981.2—2025</w:t>
            </w:r>
          </w:p>
        </w:tc>
        <w:tc>
          <w:tcPr>
            <w:tcW w:w="2130" w:type="dxa"/>
            <w:vAlign w:val="center"/>
          </w:tcPr>
          <w:p w14:paraId="2EFB0B15">
            <w:pPr>
              <w:widowControl/>
              <w:jc w:val="center"/>
              <w:rPr>
                <w:rFonts w:ascii="Times New Roman" w:hAnsi="Times New Roman" w:cs="Times New Roman"/>
                <w:kern w:val="0"/>
                <w:szCs w:val="21"/>
              </w:rPr>
            </w:pPr>
            <w:r>
              <w:rPr>
                <w:rFonts w:ascii="Times New Roman" w:hAnsi="Times New Roman" w:cs="Times New Roman"/>
                <w:szCs w:val="21"/>
              </w:rPr>
              <w:t>GB/T 23991—2009</w:t>
            </w:r>
          </w:p>
        </w:tc>
        <w:tc>
          <w:tcPr>
            <w:tcW w:w="1680" w:type="dxa"/>
            <w:vAlign w:val="center"/>
          </w:tcPr>
          <w:p w14:paraId="6FE4E0DE">
            <w:pPr>
              <w:jc w:val="center"/>
              <w:rPr>
                <w:rFonts w:cs="宋体"/>
                <w:sz w:val="22"/>
                <w:szCs w:val="28"/>
              </w:rPr>
            </w:pPr>
            <w:r>
              <w:rPr>
                <w:rFonts w:hint="eastAsia" w:cs="宋体"/>
                <w:sz w:val="22"/>
                <w:szCs w:val="28"/>
              </w:rPr>
              <w:t>限色漆</w:t>
            </w:r>
          </w:p>
        </w:tc>
      </w:tr>
      <w:tr w14:paraId="1D76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4D618E5B">
            <w:pPr>
              <w:jc w:val="center"/>
              <w:rPr>
                <w:rFonts w:ascii="Times New Roman" w:hAnsi="Times New Roman" w:cs="Times New Roman"/>
                <w:szCs w:val="21"/>
              </w:rPr>
            </w:pPr>
            <w:r>
              <w:rPr>
                <w:rFonts w:hint="eastAsia" w:ascii="Times New Roman" w:hAnsi="Times New Roman" w:cs="Times New Roman"/>
                <w:szCs w:val="21"/>
              </w:rPr>
              <w:t>14</w:t>
            </w:r>
          </w:p>
        </w:tc>
        <w:tc>
          <w:tcPr>
            <w:tcW w:w="2674" w:type="dxa"/>
            <w:vAlign w:val="center"/>
          </w:tcPr>
          <w:p w14:paraId="329F13B9">
            <w:pPr>
              <w:spacing w:line="440" w:lineRule="exact"/>
              <w:jc w:val="center"/>
              <w:rPr>
                <w:rFonts w:cs="宋体"/>
                <w:sz w:val="22"/>
                <w:szCs w:val="28"/>
              </w:rPr>
            </w:pPr>
            <w:r>
              <w:rPr>
                <w:rFonts w:cs="宋体"/>
                <w:sz w:val="22"/>
                <w:szCs w:val="28"/>
              </w:rPr>
              <w:t>耐燃时间</w:t>
            </w:r>
          </w:p>
        </w:tc>
        <w:tc>
          <w:tcPr>
            <w:tcW w:w="1875" w:type="dxa"/>
            <w:vAlign w:val="center"/>
          </w:tcPr>
          <w:p w14:paraId="1BC471CE">
            <w:pPr>
              <w:spacing w:line="440" w:lineRule="exact"/>
              <w:jc w:val="center"/>
              <w:rPr>
                <w:rFonts w:ascii="Times New Roman" w:hAnsi="Times New Roman" w:cs="Times New Roman"/>
                <w:szCs w:val="21"/>
              </w:rPr>
            </w:pPr>
            <w:r>
              <w:rPr>
                <w:rFonts w:ascii="Times New Roman" w:hAnsi="Times New Roman" w:cs="Times New Roman"/>
                <w:szCs w:val="21"/>
              </w:rPr>
              <w:t>GB 12441—2018</w:t>
            </w:r>
          </w:p>
        </w:tc>
        <w:tc>
          <w:tcPr>
            <w:tcW w:w="2130" w:type="dxa"/>
            <w:vAlign w:val="center"/>
          </w:tcPr>
          <w:p w14:paraId="5A4EBE41">
            <w:pPr>
              <w:spacing w:line="440" w:lineRule="exact"/>
              <w:jc w:val="center"/>
              <w:rPr>
                <w:rFonts w:ascii="Times New Roman" w:hAnsi="Times New Roman" w:cs="Times New Roman"/>
                <w:szCs w:val="21"/>
              </w:rPr>
            </w:pPr>
            <w:r>
              <w:rPr>
                <w:rFonts w:ascii="Times New Roman" w:hAnsi="Times New Roman" w:cs="Times New Roman"/>
                <w:szCs w:val="21"/>
              </w:rPr>
              <w:t>GB 12441—2018</w:t>
            </w:r>
          </w:p>
        </w:tc>
        <w:tc>
          <w:tcPr>
            <w:tcW w:w="1680" w:type="dxa"/>
            <w:vMerge w:val="restart"/>
            <w:vAlign w:val="center"/>
          </w:tcPr>
          <w:p w14:paraId="19E5BC53">
            <w:pPr>
              <w:jc w:val="center"/>
              <w:rPr>
                <w:rFonts w:cs="宋体"/>
                <w:sz w:val="22"/>
                <w:szCs w:val="28"/>
              </w:rPr>
            </w:pPr>
            <w:r>
              <w:rPr>
                <w:rFonts w:hint="eastAsia" w:cs="宋体"/>
                <w:sz w:val="22"/>
                <w:szCs w:val="28"/>
              </w:rPr>
              <w:t>适用于饰面型防火涂料</w:t>
            </w:r>
          </w:p>
        </w:tc>
      </w:tr>
      <w:tr w14:paraId="7325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673A3BE7">
            <w:pPr>
              <w:jc w:val="center"/>
              <w:rPr>
                <w:rFonts w:ascii="Times New Roman" w:hAnsi="Times New Roman" w:cs="Times New Roman"/>
                <w:szCs w:val="21"/>
              </w:rPr>
            </w:pPr>
            <w:r>
              <w:rPr>
                <w:rFonts w:hint="eastAsia" w:ascii="Times New Roman" w:hAnsi="Times New Roman" w:cs="Times New Roman"/>
                <w:szCs w:val="21"/>
              </w:rPr>
              <w:t>15</w:t>
            </w:r>
          </w:p>
        </w:tc>
        <w:tc>
          <w:tcPr>
            <w:tcW w:w="2674" w:type="dxa"/>
            <w:vAlign w:val="center"/>
          </w:tcPr>
          <w:p w14:paraId="40190268">
            <w:pPr>
              <w:spacing w:line="440" w:lineRule="exact"/>
              <w:jc w:val="center"/>
              <w:rPr>
                <w:rFonts w:cs="宋体"/>
                <w:sz w:val="22"/>
                <w:szCs w:val="28"/>
              </w:rPr>
            </w:pPr>
            <w:r>
              <w:rPr>
                <w:rFonts w:cs="宋体"/>
                <w:sz w:val="22"/>
                <w:szCs w:val="28"/>
              </w:rPr>
              <w:t>难燃性</w:t>
            </w:r>
          </w:p>
        </w:tc>
        <w:tc>
          <w:tcPr>
            <w:tcW w:w="1875" w:type="dxa"/>
            <w:vAlign w:val="center"/>
          </w:tcPr>
          <w:p w14:paraId="1A7E226E">
            <w:pPr>
              <w:spacing w:line="440" w:lineRule="exact"/>
              <w:jc w:val="center"/>
              <w:rPr>
                <w:rFonts w:ascii="Times New Roman" w:hAnsi="Times New Roman" w:cs="Times New Roman"/>
                <w:szCs w:val="21"/>
              </w:rPr>
            </w:pPr>
            <w:r>
              <w:rPr>
                <w:rFonts w:ascii="Times New Roman" w:hAnsi="Times New Roman" w:cs="Times New Roman"/>
                <w:szCs w:val="21"/>
              </w:rPr>
              <w:t>GB 12441—2018</w:t>
            </w:r>
          </w:p>
        </w:tc>
        <w:tc>
          <w:tcPr>
            <w:tcW w:w="2130" w:type="dxa"/>
            <w:vAlign w:val="center"/>
          </w:tcPr>
          <w:p w14:paraId="73FB96D9">
            <w:pPr>
              <w:spacing w:line="440" w:lineRule="exact"/>
              <w:jc w:val="center"/>
              <w:rPr>
                <w:rFonts w:ascii="Times New Roman" w:hAnsi="Times New Roman" w:cs="Times New Roman"/>
                <w:szCs w:val="21"/>
              </w:rPr>
            </w:pPr>
            <w:r>
              <w:rPr>
                <w:rFonts w:ascii="Times New Roman" w:hAnsi="Times New Roman" w:cs="Times New Roman"/>
                <w:szCs w:val="21"/>
              </w:rPr>
              <w:t>GB 12441—2018</w:t>
            </w:r>
          </w:p>
          <w:p w14:paraId="7330EB5D">
            <w:pPr>
              <w:spacing w:line="440" w:lineRule="exact"/>
              <w:jc w:val="center"/>
              <w:rPr>
                <w:rFonts w:ascii="Times New Roman" w:hAnsi="Times New Roman" w:cs="Times New Roman"/>
                <w:szCs w:val="21"/>
              </w:rPr>
            </w:pPr>
            <w:r>
              <w:rPr>
                <w:rFonts w:ascii="Times New Roman" w:hAnsi="Times New Roman" w:cs="Times New Roman"/>
                <w:szCs w:val="21"/>
              </w:rPr>
              <w:t>GB/T 8625—2005</w:t>
            </w:r>
          </w:p>
          <w:p w14:paraId="15D6E837">
            <w:pPr>
              <w:spacing w:line="440" w:lineRule="exact"/>
              <w:jc w:val="center"/>
              <w:rPr>
                <w:rFonts w:ascii="Times New Roman" w:hAnsi="Times New Roman" w:cs="Times New Roman"/>
                <w:szCs w:val="21"/>
              </w:rPr>
            </w:pPr>
            <w:r>
              <w:rPr>
                <w:rFonts w:ascii="Times New Roman" w:hAnsi="Times New Roman" w:cs="Times New Roman"/>
                <w:szCs w:val="21"/>
              </w:rPr>
              <w:t>GB/T 8625—2026</w:t>
            </w:r>
          </w:p>
        </w:tc>
        <w:tc>
          <w:tcPr>
            <w:tcW w:w="1680" w:type="dxa"/>
            <w:vMerge w:val="continue"/>
            <w:vAlign w:val="center"/>
          </w:tcPr>
          <w:p w14:paraId="70973050">
            <w:pPr>
              <w:jc w:val="center"/>
              <w:rPr>
                <w:rFonts w:cs="宋体"/>
                <w:sz w:val="22"/>
                <w:szCs w:val="28"/>
              </w:rPr>
            </w:pPr>
          </w:p>
        </w:tc>
      </w:tr>
      <w:tr w14:paraId="6B4E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7BB89413">
            <w:pPr>
              <w:jc w:val="center"/>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6</w:t>
            </w:r>
          </w:p>
        </w:tc>
        <w:tc>
          <w:tcPr>
            <w:tcW w:w="2674" w:type="dxa"/>
            <w:vAlign w:val="center"/>
          </w:tcPr>
          <w:p w14:paraId="73158A38">
            <w:pPr>
              <w:spacing w:line="440" w:lineRule="exact"/>
              <w:jc w:val="center"/>
              <w:rPr>
                <w:rFonts w:cs="宋体"/>
                <w:sz w:val="22"/>
                <w:szCs w:val="28"/>
              </w:rPr>
            </w:pPr>
            <w:r>
              <w:rPr>
                <w:rFonts w:cs="宋体"/>
                <w:sz w:val="22"/>
                <w:szCs w:val="28"/>
              </w:rPr>
              <w:t>质量损失</w:t>
            </w:r>
          </w:p>
        </w:tc>
        <w:tc>
          <w:tcPr>
            <w:tcW w:w="1875" w:type="dxa"/>
            <w:vAlign w:val="center"/>
          </w:tcPr>
          <w:p w14:paraId="1C648726">
            <w:pPr>
              <w:spacing w:line="440" w:lineRule="exact"/>
              <w:jc w:val="center"/>
              <w:rPr>
                <w:rFonts w:ascii="Times New Roman" w:hAnsi="Times New Roman" w:cs="Times New Roman"/>
                <w:szCs w:val="21"/>
              </w:rPr>
            </w:pPr>
            <w:r>
              <w:rPr>
                <w:rFonts w:ascii="Times New Roman" w:hAnsi="Times New Roman" w:cs="Times New Roman"/>
                <w:szCs w:val="21"/>
              </w:rPr>
              <w:t>GB 12441—2018</w:t>
            </w:r>
          </w:p>
        </w:tc>
        <w:tc>
          <w:tcPr>
            <w:tcW w:w="2130" w:type="dxa"/>
            <w:vAlign w:val="center"/>
          </w:tcPr>
          <w:p w14:paraId="57A17992">
            <w:pPr>
              <w:spacing w:line="440" w:lineRule="exact"/>
              <w:jc w:val="center"/>
              <w:rPr>
                <w:rFonts w:ascii="Times New Roman" w:hAnsi="Times New Roman" w:cs="Times New Roman"/>
                <w:szCs w:val="21"/>
              </w:rPr>
            </w:pPr>
            <w:r>
              <w:rPr>
                <w:rFonts w:ascii="Times New Roman" w:hAnsi="Times New Roman" w:cs="Times New Roman"/>
                <w:szCs w:val="21"/>
              </w:rPr>
              <w:t>GB 12441—2018</w:t>
            </w:r>
          </w:p>
        </w:tc>
        <w:tc>
          <w:tcPr>
            <w:tcW w:w="1680" w:type="dxa"/>
            <w:vMerge w:val="continue"/>
            <w:vAlign w:val="center"/>
          </w:tcPr>
          <w:p w14:paraId="68C1BBCA">
            <w:pPr>
              <w:jc w:val="center"/>
              <w:rPr>
                <w:rFonts w:cs="宋体"/>
                <w:sz w:val="22"/>
                <w:szCs w:val="28"/>
              </w:rPr>
            </w:pPr>
          </w:p>
        </w:tc>
      </w:tr>
      <w:tr w14:paraId="4F56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305B8627">
            <w:pPr>
              <w:jc w:val="center"/>
              <w:rPr>
                <w:rFonts w:ascii="Times New Roman" w:hAnsi="Times New Roman" w:cs="Times New Roman"/>
                <w:szCs w:val="21"/>
              </w:rPr>
            </w:pPr>
            <w:r>
              <w:rPr>
                <w:rFonts w:ascii="Times New Roman" w:hAnsi="Times New Roman" w:cs="Times New Roman"/>
                <w:szCs w:val="21"/>
              </w:rPr>
              <w:t>1</w:t>
            </w:r>
            <w:r>
              <w:rPr>
                <w:rFonts w:hint="eastAsia" w:ascii="Times New Roman" w:hAnsi="Times New Roman" w:cs="Times New Roman"/>
                <w:szCs w:val="21"/>
              </w:rPr>
              <w:t>7</w:t>
            </w:r>
          </w:p>
        </w:tc>
        <w:tc>
          <w:tcPr>
            <w:tcW w:w="2674" w:type="dxa"/>
            <w:vAlign w:val="center"/>
          </w:tcPr>
          <w:p w14:paraId="4236433C">
            <w:pPr>
              <w:spacing w:line="440" w:lineRule="exact"/>
              <w:jc w:val="center"/>
              <w:rPr>
                <w:rFonts w:cs="宋体"/>
                <w:sz w:val="22"/>
                <w:szCs w:val="28"/>
              </w:rPr>
            </w:pPr>
            <w:r>
              <w:rPr>
                <w:rFonts w:cs="宋体"/>
                <w:sz w:val="22"/>
                <w:szCs w:val="28"/>
              </w:rPr>
              <w:t>炭化体积</w:t>
            </w:r>
          </w:p>
        </w:tc>
        <w:tc>
          <w:tcPr>
            <w:tcW w:w="1875" w:type="dxa"/>
            <w:vAlign w:val="center"/>
          </w:tcPr>
          <w:p w14:paraId="36BE300F">
            <w:pPr>
              <w:spacing w:line="440" w:lineRule="exact"/>
              <w:jc w:val="center"/>
              <w:rPr>
                <w:rFonts w:ascii="Times New Roman" w:hAnsi="Times New Roman" w:cs="Times New Roman"/>
                <w:szCs w:val="21"/>
              </w:rPr>
            </w:pPr>
            <w:r>
              <w:rPr>
                <w:rFonts w:ascii="Times New Roman" w:hAnsi="Times New Roman" w:cs="Times New Roman"/>
                <w:szCs w:val="21"/>
              </w:rPr>
              <w:t>GB 12441—2018</w:t>
            </w:r>
          </w:p>
        </w:tc>
        <w:tc>
          <w:tcPr>
            <w:tcW w:w="2130" w:type="dxa"/>
            <w:vAlign w:val="center"/>
          </w:tcPr>
          <w:p w14:paraId="3946926E">
            <w:pPr>
              <w:spacing w:line="440" w:lineRule="exact"/>
              <w:jc w:val="center"/>
              <w:rPr>
                <w:rFonts w:ascii="Times New Roman" w:hAnsi="Times New Roman" w:cs="Times New Roman"/>
                <w:szCs w:val="21"/>
              </w:rPr>
            </w:pPr>
            <w:r>
              <w:rPr>
                <w:rFonts w:ascii="Times New Roman" w:hAnsi="Times New Roman" w:cs="Times New Roman"/>
                <w:szCs w:val="21"/>
              </w:rPr>
              <w:t>GB 12441—2018</w:t>
            </w:r>
          </w:p>
        </w:tc>
        <w:tc>
          <w:tcPr>
            <w:tcW w:w="1680" w:type="dxa"/>
            <w:vMerge w:val="continue"/>
            <w:vAlign w:val="center"/>
          </w:tcPr>
          <w:p w14:paraId="636C5DC6">
            <w:pPr>
              <w:jc w:val="center"/>
              <w:rPr>
                <w:rFonts w:cs="宋体"/>
                <w:sz w:val="22"/>
                <w:szCs w:val="28"/>
              </w:rPr>
            </w:pPr>
          </w:p>
        </w:tc>
      </w:tr>
    </w:tbl>
    <w:p w14:paraId="076DEE99">
      <w:pPr>
        <w:ind w:firstLine="440" w:firstLineChars="200"/>
        <w:rPr>
          <w:rFonts w:ascii="Times New Roman" w:hAnsi="Times New Roman" w:eastAsia="宋体" w:cs="宋体"/>
          <w:sz w:val="22"/>
          <w:szCs w:val="28"/>
        </w:rPr>
      </w:pPr>
    </w:p>
    <w:p w14:paraId="7F113228">
      <w:pPr>
        <w:spacing w:line="240" w:lineRule="auto"/>
        <w:ind w:firstLine="420" w:firstLineChars="200"/>
        <w:rPr>
          <w:color w:val="000000"/>
          <w:szCs w:val="21"/>
          <w:shd w:val="clear" w:color="auto" w:fill="FFFFFF"/>
        </w:rPr>
      </w:pPr>
    </w:p>
    <w:p w14:paraId="1F672A77">
      <w:pPr>
        <w:spacing w:line="240" w:lineRule="auto"/>
        <w:ind w:firstLine="420" w:firstLineChars="200"/>
        <w:rPr>
          <w:rFonts w:ascii="Times New Roman" w:hAnsi="Times New Roman" w:eastAsia="宋体" w:cs="宋体"/>
          <w:sz w:val="22"/>
          <w:szCs w:val="28"/>
        </w:rPr>
      </w:pPr>
      <w:r>
        <w:rPr>
          <w:color w:val="000000"/>
          <w:szCs w:val="21"/>
          <w:shd w:val="clear" w:color="auto" w:fill="FFFFFF"/>
        </w:rPr>
        <w:t>执行企业标准、团体标准、地方标准的产品，检验项目参照上述内容执行。</w:t>
      </w:r>
    </w:p>
    <w:p w14:paraId="53D4EAA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2A39DC56">
      <w:pPr>
        <w:ind w:firstLine="420" w:firstLineChars="200"/>
        <w:rPr>
          <w:rFonts w:ascii="Times New Roman" w:hAnsi="Times New Roman" w:eastAsia="宋体" w:cs="宋体"/>
          <w:szCs w:val="21"/>
        </w:rPr>
      </w:pPr>
    </w:p>
    <w:p w14:paraId="08C68B6A">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43DF0F84">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5F6302A8">
      <w:pPr>
        <w:snapToGrid w:val="0"/>
        <w:spacing w:line="440" w:lineRule="exact"/>
        <w:ind w:firstLine="376" w:firstLineChars="171"/>
        <w:rPr>
          <w:rFonts w:ascii="Times New Roman" w:hAnsi="Times New Roman" w:eastAsia="宋体" w:cs="宋体"/>
          <w:sz w:val="22"/>
          <w:szCs w:val="28"/>
        </w:rPr>
      </w:pPr>
      <w:r>
        <w:rPr>
          <w:rFonts w:ascii="Times New Roman" w:hAnsi="Times New Roman" w:eastAsia="宋体" w:cs="宋体"/>
          <w:sz w:val="22"/>
          <w:szCs w:val="28"/>
        </w:rPr>
        <w:t>JG/T 415—2013</w:t>
      </w:r>
      <w:r>
        <w:rPr>
          <w:rFonts w:hint="eastAsia" w:ascii="Times New Roman" w:hAnsi="Times New Roman" w:eastAsia="宋体" w:cs="宋体"/>
          <w:sz w:val="22"/>
          <w:szCs w:val="28"/>
        </w:rPr>
        <w:t xml:space="preserve"> 建筑防火涂料有害物质限量及检测方法</w:t>
      </w:r>
    </w:p>
    <w:p w14:paraId="7469E0B6">
      <w:pPr>
        <w:snapToGrid w:val="0"/>
        <w:spacing w:line="440" w:lineRule="exact"/>
        <w:ind w:firstLine="376" w:firstLineChars="171"/>
        <w:rPr>
          <w:rFonts w:ascii="Times New Roman" w:hAnsi="Times New Roman" w:eastAsia="宋体" w:cs="宋体"/>
          <w:sz w:val="22"/>
          <w:szCs w:val="28"/>
        </w:rPr>
      </w:pPr>
      <w:r>
        <w:rPr>
          <w:rFonts w:ascii="Times New Roman" w:hAnsi="Times New Roman" w:eastAsia="宋体" w:cs="宋体"/>
          <w:sz w:val="22"/>
          <w:szCs w:val="28"/>
        </w:rPr>
        <w:t>GB 30981.2—2025 涂料中有害物质限量 第2部分：工业涂料</w:t>
      </w:r>
    </w:p>
    <w:p w14:paraId="1CDEA5B9">
      <w:pPr>
        <w:snapToGrid w:val="0"/>
        <w:spacing w:line="440" w:lineRule="exact"/>
        <w:ind w:firstLine="376" w:firstLineChars="171"/>
        <w:rPr>
          <w:rFonts w:ascii="Times New Roman" w:hAnsi="Times New Roman" w:eastAsia="宋体" w:cs="宋体"/>
          <w:sz w:val="22"/>
          <w:szCs w:val="28"/>
        </w:rPr>
      </w:pPr>
      <w:r>
        <w:rPr>
          <w:rFonts w:ascii="Times New Roman" w:hAnsi="Times New Roman" w:eastAsia="宋体" w:cs="宋体"/>
          <w:sz w:val="22"/>
          <w:szCs w:val="28"/>
        </w:rPr>
        <w:t xml:space="preserve">GB 12441—2018 </w:t>
      </w:r>
      <w:r>
        <w:rPr>
          <w:rFonts w:hint="eastAsia" w:ascii="Times New Roman" w:hAnsi="Times New Roman" w:eastAsia="宋体" w:cs="宋体"/>
          <w:sz w:val="22"/>
          <w:szCs w:val="28"/>
        </w:rPr>
        <w:t>饰面型防火涂料</w:t>
      </w:r>
    </w:p>
    <w:p w14:paraId="24886A93">
      <w:pPr>
        <w:snapToGrid w:val="0"/>
        <w:spacing w:line="440" w:lineRule="exact"/>
        <w:ind w:firstLine="376" w:firstLineChars="171"/>
        <w:rPr>
          <w:rFonts w:ascii="Times New Roman" w:hAnsi="Times New Roman" w:eastAsia="宋体" w:cs="宋体"/>
          <w:sz w:val="22"/>
          <w:szCs w:val="28"/>
        </w:rPr>
      </w:pPr>
      <w:r>
        <w:rPr>
          <w:rFonts w:hint="eastAsia" w:ascii="Times New Roman" w:hAnsi="Times New Roman" w:eastAsia="宋体" w:cs="宋体"/>
          <w:sz w:val="22"/>
          <w:szCs w:val="28"/>
        </w:rPr>
        <w:t>DB11/ 1983</w:t>
      </w:r>
      <w:r>
        <w:rPr>
          <w:rFonts w:ascii="Times New Roman" w:hAnsi="Times New Roman" w:eastAsia="宋体" w:cs="宋体"/>
          <w:sz w:val="22"/>
          <w:szCs w:val="28"/>
        </w:rPr>
        <w:t>—2022</w:t>
      </w:r>
      <w:r>
        <w:rPr>
          <w:rFonts w:hint="eastAsia" w:ascii="Times New Roman" w:hAnsi="Times New Roman" w:eastAsia="宋体" w:cs="宋体"/>
          <w:sz w:val="22"/>
          <w:szCs w:val="28"/>
        </w:rPr>
        <w:t xml:space="preserve"> 建筑类涂料与胶粘剂挥发性有机化合物含量限值标准</w:t>
      </w:r>
    </w:p>
    <w:p w14:paraId="206D3E0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19F07379">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388AAAE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ACAE70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150E27E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5B1E78E7">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B110C8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181ABCB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54C65CE5">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CDF7B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A8AE71">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9A8AE71">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C79"/>
    <w:rsid w:val="000775F6"/>
    <w:rsid w:val="000F24F4"/>
    <w:rsid w:val="001601B2"/>
    <w:rsid w:val="00197A22"/>
    <w:rsid w:val="003E17A9"/>
    <w:rsid w:val="004C0ABA"/>
    <w:rsid w:val="004C2EAD"/>
    <w:rsid w:val="005E74CD"/>
    <w:rsid w:val="00610A10"/>
    <w:rsid w:val="006F2875"/>
    <w:rsid w:val="007F1E87"/>
    <w:rsid w:val="008C736E"/>
    <w:rsid w:val="008E1C79"/>
    <w:rsid w:val="00901BA0"/>
    <w:rsid w:val="009326DE"/>
    <w:rsid w:val="00946C62"/>
    <w:rsid w:val="009B6A03"/>
    <w:rsid w:val="009C7BFE"/>
    <w:rsid w:val="00A22EF2"/>
    <w:rsid w:val="00AD67AE"/>
    <w:rsid w:val="00BB7867"/>
    <w:rsid w:val="00BE5739"/>
    <w:rsid w:val="00C31677"/>
    <w:rsid w:val="00CE0734"/>
    <w:rsid w:val="00D20EF4"/>
    <w:rsid w:val="00DB33BD"/>
    <w:rsid w:val="00DE2AE5"/>
    <w:rsid w:val="00E12577"/>
    <w:rsid w:val="00E66988"/>
    <w:rsid w:val="00EC2DFF"/>
    <w:rsid w:val="02551A35"/>
    <w:rsid w:val="036455F8"/>
    <w:rsid w:val="05F95A95"/>
    <w:rsid w:val="06E03F13"/>
    <w:rsid w:val="070E6657"/>
    <w:rsid w:val="092B12B3"/>
    <w:rsid w:val="0CD143AE"/>
    <w:rsid w:val="0D343503"/>
    <w:rsid w:val="13144FF5"/>
    <w:rsid w:val="149E7B87"/>
    <w:rsid w:val="156C55BC"/>
    <w:rsid w:val="1E7B23CC"/>
    <w:rsid w:val="222A1341"/>
    <w:rsid w:val="29B570DA"/>
    <w:rsid w:val="2B4863B8"/>
    <w:rsid w:val="2B830B12"/>
    <w:rsid w:val="2E5977D4"/>
    <w:rsid w:val="2E8C4181"/>
    <w:rsid w:val="2ED81174"/>
    <w:rsid w:val="377536D6"/>
    <w:rsid w:val="38A81BB8"/>
    <w:rsid w:val="3DE51470"/>
    <w:rsid w:val="408E5B37"/>
    <w:rsid w:val="42C54070"/>
    <w:rsid w:val="43081BD1"/>
    <w:rsid w:val="439E0D9F"/>
    <w:rsid w:val="44ED24AC"/>
    <w:rsid w:val="46050649"/>
    <w:rsid w:val="465A107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37C0D9D"/>
    <w:rsid w:val="73C038EC"/>
    <w:rsid w:val="74422159"/>
    <w:rsid w:val="77062301"/>
    <w:rsid w:val="7947444E"/>
    <w:rsid w:val="799A287B"/>
    <w:rsid w:val="7C093CE8"/>
    <w:rsid w:val="7F887308"/>
    <w:rsid w:val="7FBB4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9"/>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948</Words>
  <Characters>1601</Characters>
  <Lines>12</Lines>
  <Paragraphs>3</Paragraphs>
  <TotalTime>0</TotalTime>
  <ScaleCrop>false</ScaleCrop>
  <LinksUpToDate>false</LinksUpToDate>
  <CharactersWithSpaces>1668</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2026-06-30T03:24:00Z</dcterms:created>
  <dc:creator>JinweiJia</dc:creator>
  <cp:lastModifiedBy>zw</cp:lastModifiedBy>
  <dcterms:modified xsi:type="dcterms:W3CDTF">2026-07-01T07:29:40Z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EA37F54C7729415299A3070DC8F8CE3B_13</vt:lpwstr>
  </property>
  <property fmtid="{D5CDD505-2E9C-101B-9397-08002B2CF9AE}" pid="4" name="KSOTemplateDocerSaveRecord">
    <vt:lpwstr>eyJoZGlkIjoiYjU4YTEyOWI0YTA1NzExMDUyM2E4NzRjZjM1MmQ2OWEiLCJ1c2VySWQiOiIxMTI2NTcyODI0In0=</vt:lpwstr>
  </property>
</Properties>
</file>